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4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43333"/>
          <w:spacing w:val="0"/>
          <w:sz w:val="44"/>
          <w:szCs w:val="44"/>
          <w:shd w:val="clear" w:fill="FFFFFF"/>
          <w:lang w:eastAsia="zh-CN"/>
        </w:rPr>
        <w:t>图们敦银村镇银行股份有限公司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4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43333"/>
          <w:spacing w:val="0"/>
          <w:sz w:val="44"/>
          <w:szCs w:val="44"/>
          <w:shd w:val="clear" w:fill="FFFFFF"/>
          <w:lang w:val="en-US" w:eastAsia="zh-CN"/>
        </w:rPr>
        <w:t>2017年度信息披露报告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ascii="黑体" w:hAnsi="宋体" w:eastAsia="黑体" w:cs="黑体"/>
          <w:b w:val="0"/>
          <w:i w:val="0"/>
          <w:caps w:val="0"/>
          <w:color w:val="34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重要提示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kern w:val="0"/>
          <w:sz w:val="32"/>
          <w:szCs w:val="32"/>
          <w:shd w:val="clear" w:fill="FFFFFF"/>
          <w:lang w:val="en-US" w:eastAsia="zh-CN" w:bidi="ar"/>
        </w:rPr>
        <w:t>图们敦银村镇银行股份有限公司（以下简称“本行”）董事会及董事保证本报告所载资料不存在任何虚假记载、误导性陈述或者重大遗漏，并对其内容的真实性、准确性和完整性承担个别及连带责任。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kern w:val="0"/>
          <w:sz w:val="32"/>
          <w:szCs w:val="32"/>
          <w:shd w:val="clear" w:fill="FFFFFF"/>
          <w:lang w:val="en-US" w:eastAsia="zh-CN" w:bidi="ar"/>
        </w:rPr>
        <w:t>本信息披露报告经本行2017年度股东大会审议通过。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kern w:val="0"/>
          <w:sz w:val="32"/>
          <w:szCs w:val="32"/>
          <w:shd w:val="clear" w:fill="FFFFFF"/>
          <w:lang w:val="en-US" w:eastAsia="zh-CN" w:bidi="ar"/>
        </w:rPr>
        <w:t>本行2017年度财务决算报告经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  <w:lang w:eastAsia="zh-CN"/>
        </w:rPr>
        <w:t>延边诚信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kern w:val="0"/>
          <w:sz w:val="32"/>
          <w:szCs w:val="32"/>
          <w:shd w:val="clear" w:fill="FFFFFF"/>
          <w:lang w:val="en-US" w:eastAsia="zh-CN" w:bidi="ar"/>
        </w:rPr>
        <w:t>会计师事务所根据国内审计准则审计，并出具了标准无保留意见的审计报告。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一、公司基本情况简介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（一）法定中文名称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简称：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法定英文名称：</w:t>
      </w:r>
      <w:r>
        <w:rPr>
          <w:rFonts w:hint="eastAsia" w:ascii="仿宋" w:hAnsi="仿宋" w:eastAsia="仿宋" w:cs="仿宋"/>
          <w:sz w:val="32"/>
          <w:szCs w:val="32"/>
        </w:rPr>
        <w:t>TUMEN DUNYIN VILLAGE BANK CO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.,</w:t>
      </w:r>
      <w:r>
        <w:rPr>
          <w:rFonts w:hint="eastAsia" w:ascii="仿宋" w:hAnsi="仿宋" w:eastAsia="仿宋" w:cs="仿宋"/>
          <w:sz w:val="32"/>
          <w:szCs w:val="32"/>
        </w:rPr>
        <w:t>LTD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（简称：</w:t>
      </w:r>
      <w:r>
        <w:rPr>
          <w:rFonts w:hint="eastAsia" w:ascii="仿宋" w:hAnsi="仿宋" w:eastAsia="仿宋" w:cs="仿宋"/>
          <w:sz w:val="32"/>
          <w:szCs w:val="32"/>
        </w:rPr>
        <w:t>TUMEN DUNYIN VILLAGE BANK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（二）法定代表人：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张胜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（三）注册资本：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0,000,000.00元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注册地址：吉林省图们市口岸大街990号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z w:val="32"/>
          <w:szCs w:val="32"/>
        </w:rPr>
        <w:t>地址：吉林省图们市口岸大街990号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邮政编码：133100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0433-3866007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（四）其他有关资料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首次登记日：2016年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4日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统一社会信用代码：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91222402MA0Y69W922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金融许可证机构编码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S0061H322240001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聘请会计师事务所名称：吉安文山有限责任会计师事务所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二、会计数据和业务数据摘要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（一）报告期内主要利润指标情况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tbl>
      <w:tblPr>
        <w:tblStyle w:val="6"/>
        <w:tblW w:w="7380" w:type="dxa"/>
        <w:tblInd w:w="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  <w:r>
              <w:rPr>
                <w:rStyle w:val="7"/>
                <w:lang w:val="en-US" w:eastAsia="zh-CN" w:bidi="ar"/>
              </w:rPr>
              <w:t>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营业利润(万元)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-451.72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营业外收支净额(万元)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利润总额(万元)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-316.72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净利润(万元)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-316.72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（二）报告期末主要会计数据和财务指标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tbl>
      <w:tblPr>
        <w:tblStyle w:val="6"/>
        <w:tblW w:w="7410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营业收入(万元)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营业支出(万元)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营业外收支净额(万元)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利润总额(万元)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-316.72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净利润(万元)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-316.72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总资产(万元)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20710.03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总负债(万元)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19295.46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所有者权益(万元)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存款余额(万元)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贷款余额(万元)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资本利润率（%）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资产利润率（%）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成本收入比例（%）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30.27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</w:rPr>
        <w:t>（三）报告期末主要风险监管指标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tbl>
      <w:tblPr>
        <w:tblStyle w:val="6"/>
        <w:tblW w:w="7425" w:type="dxa"/>
        <w:tblInd w:w="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6"/>
        <w:gridCol w:w="1275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主要风险指标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核心一级资本净额(万元)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1414.578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一级资本净额（万元）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1414.578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资本净额（万元）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1573.758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核心一级资本充足率(%）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≥7.5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一级资本充足率(%）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≥8.5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资本充足率(%）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≥10.5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贷款拨备率（%）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≥2.5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存贷比例（%）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≤75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到期贷款收回率（%）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正常贷款利息收回率（%）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贷款损失准备金情况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tbl>
      <w:tblPr>
        <w:tblStyle w:val="6"/>
        <w:tblW w:w="7410" w:type="dxa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期初余额（万元）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报告期从本年损益中计提（万元）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报告期从所有者权益中转入（万元）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报告期收回（万元）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报告期转出（万元）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报告期核销（万元）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其他变化（万元）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4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43333"/>
                <w:kern w:val="0"/>
                <w:sz w:val="32"/>
                <w:szCs w:val="32"/>
                <w:u w:val="none"/>
                <w:lang w:val="en-US" w:eastAsia="zh-CN" w:bidi="ar"/>
              </w:rPr>
              <w:t>期末余额（万元）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三、主要风险及风险管理状况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（一）面临的主要风险及风险管理情况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报告期内及未来主要面临信用风险、操作风险、市场风险、流动性风险等。本行始终坚持审慎经营、内控优先的原则，牢固树立“服务三农、支持小微、支持地方经济发展”市场定位，坚持稳中求进的工作总基调，把握“固本强基，提质增效”的工作总要求，严格内部管理，持续推进规范化建设，较好地防范了各类风险的发生。报告期内，没有发生影响本行经营的情况，也未造成重大损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1、信用风险管控。通过实行国际通用的贷款五级分类法对贷款进行管理，优化信贷资产结构，建立贷款信用风险控制长效机制，防范贷款信用风险；本行严格执行贷款“三查”制度和贷款责任追究制度，从源头上防范信用风险；本行采取审慎的会计制度，根据贷款规模和信用风险程度，按有关规定计提了贷款损失准备，增强了抗御风险的能力。报告期内，本行没有出现不良贷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</w:rPr>
        <w:t>2、流动性风险和市场风险管控。本行制定了《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</w:rPr>
        <w:t>村镇银行流动性风险管理办法》和《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</w:rPr>
        <w:t>村镇银行流动性风险应急预案》，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明确了董事会、监事会及经营管理层的流动性风险管理职责，流动性风险的报告和处置流程等，坚持审慎原则，充分识别、有效计量、持续监测和适当控制业务各个环节的流动性风险。报告期内，本行存贷款比例控制合理，备付金充足。本行要加强市场风险管控，加强利率风险主动管理，通过实施灵活机动的差异化利率政策，应对日趋激烈的业务竞争，同时做好利率风险的控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3、操作风险声誉风险管控。一是借助主发起行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敦化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农商银行的力量，组织技术研究人员，加强对现有业务网络系统的监控，确保网络平稳运行，并做到及时改进和更新网络功能，以适应业务操作需求；二是加强合规文化建设，防范操作风险。高度重视合规思想教育，弘扬合规创造价值理念，全面提高全员合规意识，不断强化制度执行；三是加强政治思想教育和员工行为排查，及时掌握和了解员工的思想动态，有效防范道德风险；四是强化流程控制，防范法律和合规风险。强化规范操作，严格流程控制，增强员工合规风险意识，加强制度执行力，防范操作风险和合规风险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4、声誉风险管控。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</w:rPr>
        <w:t>本行不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断加强全面风险控制，切实防范声誉风险。本行开放了信函、电话、直接来访等形式的信访接待工作渠道，及时接受信访信息，并保证每一个信访问题都得到及时、认真的回复。加强客户服务管理，不断改善服务环境，切实加强消费者权益保护工作，建立声誉风险防范日常监测长效机制，维护良好的公众形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5、合规风险管控。本行建立了较为完整、有效的合规风险管理体系,并通过不断改进和完善合规风险管理工作机制、防控技术和管理程序,实现对合规风险的有效识别与管控。一是建立了一系列管理制度，做到本行产品全覆盖，确保我行各个业务产品操作有制可依，确保员工熟悉各项业务操作流程；二是持续强化对员工的金融政策、法律制度、财经纪律、职业道德教育，规范员工言行，加强员工异常行为管理，不定期对重要岗位人员交心谈心，及时了解员工思想动态；三是不断提高本行员工业务操作水平，增强业务素质，通过定期的学习培训，提高员工合规操作意识；四是定期开展合规检查与测试，推进相关业务的合规稳健开展的同时不断提高员工专业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（二）内控建设及内审工作情况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本行按照“对内优化、对外简化”的原则，不断制定并完善各项制度、业务操作流程，健全操作细则，做到内控优先、制度先行，保证规制流程对每个岗位、每项业务、每个环节的全覆盖。健全监督体系，对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营全行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各个岗位制度落实、每笔业务合规情况进行现场监督和风险把关；同时，有效运用电子监控、异常交易信息监控、信贷管理系统等非现场监控手段，建立全方位监督体系。强化案件防控，加强内部稽核审计，经常性开展风险排查，严肃查处违规行为，有效杜绝案件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四、公司治理情况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（一）经营决策体系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权力机构是股东会，通过董事会进行决策、管理，由监事会行使监督职能。行长对董事会负责，执行董事会的各项决议，负责本行的日常经营管理工作。本行实行一级法人体制，通过董事会、监事会进行管理和监督。行长受聘于董事会，负责本行日常经营管理。报告期内，本行不断完善股东会、董事会、监事会和经营管理层独立运作、有效制衡的公司治理结构，其核心目标是在尊重和保护存款人利益的前提下，追求股东价值的长期最大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（二）股本及股东情况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1、股本结构情况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本行由发起行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敦化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农村商业银行股份有限公司发起设立，目前股本总额为人民币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贰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仟万元整，其中发起行出资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800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万元，股权比例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40.00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%；自然人股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1200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万元，占比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60.00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 xml:space="preserve"> 2、股东情况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截至201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年12月31日，本行股东总数为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个，其中法人股东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个，自然人股东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（三）股东代表大会情况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本行201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年度召开了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两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次股东会，出席会议的股东、股东代理人和股东会程序符合《公司法》等有关规定。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年股东会召开情况如下：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本行于201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年01月1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日在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图们敦银村镇银行二楼会议室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召开了图们敦银村镇银行股份有限公司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2016年度股东大会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，会议共审议了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图们敦银村镇银行股份有限公司2016年度董事会工作报告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图们敦银村镇银行股份有限公司2016年监事会工作报告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图们敦银村镇银行股份有限公司2016年度财务决算报告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图们敦银村镇银行股份有限公司2016年度利分配方案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图们敦银村镇银行股份有限公司2017年度财务预算报告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图们敦银村镇银行股份有限公司董事会及高级管理层及其成员2016年度履职情况评价报告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图们敦银村镇银行股份有限公司2016年度监事履行职责情况的评价报告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图们敦银村镇银行2017年绩效薪酬考核方案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》、《关于修改图们敦银村镇银行股份有限公司章程》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项议案，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项议案获得股东会100%持股股东及股东代理人通过。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本行于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图们敦银村镇银行二楼会议室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召开了图们敦银村镇银行股份有限公司2017年第一次临时股东大会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，会议审议了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/>
          <w:sz w:val="32"/>
          <w:szCs w:val="32"/>
        </w:rPr>
        <w:t>图们敦银村镇银行股份有限公司监事长杨军同志辞职报告</w:t>
      </w:r>
      <w:r>
        <w:rPr>
          <w:rFonts w:hint="eastAsia" w:ascii="仿宋" w:hAnsi="仿宋" w:eastAsia="仿宋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图们敦银村镇银行股份有限公司关于增补监事》2项议案，2项议案获得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股东会100%持股股东及股东代理人通过。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两次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股东会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均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吉林林海律师事务所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</w:rPr>
        <w:t>律师事务所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见证，并由律师出具法律意见书。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 xml:space="preserve"> （四）董事会的构成及其工作情况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1、董事会的构成情况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本行严格按照《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村镇银行股份有限公司章程》规定程序和监管部门董事任职资格要求选聘选举董事，董事会的人数和人员构成符合法律法规的要求。至报告期末，本行董事会由5名董事组成。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村镇银行董事会成员情况表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tbl>
      <w:tblPr>
        <w:tblStyle w:val="6"/>
        <w:tblW w:w="8339" w:type="dxa"/>
        <w:jc w:val="center"/>
        <w:tblCellSpacing w:w="0" w:type="dxa"/>
        <w:tblInd w:w="-1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4035"/>
        <w:gridCol w:w="1440"/>
        <w:gridCol w:w="15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13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4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主要职务（行政）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学位学历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出生时间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13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胜</w:t>
            </w:r>
          </w:p>
        </w:tc>
        <w:tc>
          <w:tcPr>
            <w:tcW w:w="4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图们敦银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村镇银行董事长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本科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1965.11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13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欣</w:t>
            </w:r>
          </w:p>
        </w:tc>
        <w:tc>
          <w:tcPr>
            <w:tcW w:w="4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敦化农村商业银行董事会秘书兼人力资源部总经理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  <w:t>1971.04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13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程燕苓</w:t>
            </w:r>
          </w:p>
        </w:tc>
        <w:tc>
          <w:tcPr>
            <w:tcW w:w="4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敦化农村商业银行财务总监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val="en-US" w:eastAsia="zh-CN"/>
              </w:rPr>
              <w:t>1971.01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13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刘加洪</w:t>
            </w:r>
          </w:p>
        </w:tc>
        <w:tc>
          <w:tcPr>
            <w:tcW w:w="4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吉林农创集团投资有限公司财务总监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  <w:t>1962.09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13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李婉秋</w:t>
            </w:r>
          </w:p>
        </w:tc>
        <w:tc>
          <w:tcPr>
            <w:tcW w:w="4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图们敦银村镇银行行长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  <w:t>1964.12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2、董事会工作情况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本行现有董事5人，董事人数符合章程及相关法律规定。201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年本行一届董事会共召开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次会议，审议表决通过了</w:t>
      </w:r>
      <w:r>
        <w:rPr>
          <w:rFonts w:hint="eastAsia" w:ascii="仿宋" w:hAnsi="仿宋" w:eastAsia="仿宋"/>
          <w:sz w:val="32"/>
          <w:szCs w:val="32"/>
        </w:rPr>
        <w:t>《图们敦银村镇银行股份有限公司关于副行长提名》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项决议。会议程序符合《公司法》和《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村镇银行股份有限公司章程》有关规定。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 xml:space="preserve"> （五）监事会的构成及其工作情况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1、监事会的构成情况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本行监事的任职资格和选聘程序、监事会的人数和人员构成均符合监管部门、《公司法》、《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村镇银行股份有限公司章程》的规定要求。至报告期末，本行监事会由3名监事组成。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村镇银行监事会成员情况表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tbl>
      <w:tblPr>
        <w:tblStyle w:val="6"/>
        <w:tblW w:w="8352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3915"/>
        <w:gridCol w:w="1500"/>
        <w:gridCol w:w="15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</w:trPr>
        <w:tc>
          <w:tcPr>
            <w:tcW w:w="13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名</w:t>
            </w:r>
          </w:p>
        </w:tc>
        <w:tc>
          <w:tcPr>
            <w:tcW w:w="3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主要职务（行政）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学位学历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出生时间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</w:trPr>
        <w:tc>
          <w:tcPr>
            <w:tcW w:w="13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郎伟武</w:t>
            </w:r>
          </w:p>
        </w:tc>
        <w:tc>
          <w:tcPr>
            <w:tcW w:w="3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图们敦银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村镇银行监事长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大学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  <w:t>1971.4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</w:trPr>
        <w:tc>
          <w:tcPr>
            <w:tcW w:w="13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文登峰</w:t>
            </w:r>
          </w:p>
        </w:tc>
        <w:tc>
          <w:tcPr>
            <w:tcW w:w="3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图们敦银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村镇银行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综合管理部总经理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  <w:t>1983.11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</w:trPr>
        <w:tc>
          <w:tcPr>
            <w:tcW w:w="13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马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静</w:t>
            </w:r>
          </w:p>
        </w:tc>
        <w:tc>
          <w:tcPr>
            <w:tcW w:w="3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董事会办公室科员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highlight w:val="none"/>
                <w:lang w:eastAsia="zh-CN"/>
              </w:rPr>
              <w:t>大学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highlight w:val="none"/>
                <w:lang w:val="en-US" w:eastAsia="zh-CN"/>
              </w:rPr>
              <w:t>1978.01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2、监事会工作情况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本行现有监事3人，监事人数符合章程及相关法律规定。201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年本行一届监事会共召开四次会议，审议表决通过了《关于选举图们敦银村镇银行股份有限公司监事长的议案》》等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项决议。会议程序符合《公司法》和《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村镇银行股份有限公司章程》有关规定。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 xml:space="preserve"> （六）经营管理层成员及其基本情况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本行经营管理层的任职资格符合银监部门要求，至报告期末，本行经营管理层由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名高级管理人员组成，其中行长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副行长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及监事长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各1名。报告期内经营管理分工明确，能够遵守勤勉、诚信原则，忠实履行本行《章程》规定的职责、执行董事会的各项决议。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村镇银行高级管理层情况表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lang w:eastAsia="zh-CN"/>
        </w:rPr>
      </w:pPr>
    </w:p>
    <w:tbl>
      <w:tblPr>
        <w:tblStyle w:val="6"/>
        <w:tblW w:w="8009" w:type="dxa"/>
        <w:jc w:val="center"/>
        <w:tblCellSpacing w:w="0" w:type="dxa"/>
        <w:tblInd w:w="-1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1811"/>
        <w:gridCol w:w="1811"/>
        <w:gridCol w:w="2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名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主要职务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学历学位</w:t>
            </w:r>
          </w:p>
        </w:tc>
        <w:tc>
          <w:tcPr>
            <w:tcW w:w="23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出生时间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李婉秋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长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科</w:t>
            </w:r>
          </w:p>
        </w:tc>
        <w:tc>
          <w:tcPr>
            <w:tcW w:w="23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  <w:t>1964.12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  <w:lang w:eastAsia="zh-CN"/>
              </w:rPr>
              <w:t>梁海军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43333"/>
                <w:spacing w:val="0"/>
                <w:sz w:val="32"/>
                <w:szCs w:val="32"/>
              </w:rPr>
              <w:t>副行长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  <w:t>本  科</w:t>
            </w:r>
          </w:p>
        </w:tc>
        <w:tc>
          <w:tcPr>
            <w:tcW w:w="23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43333"/>
                <w:sz w:val="32"/>
                <w:szCs w:val="32"/>
                <w:lang w:val="en-US" w:eastAsia="zh-CN"/>
              </w:rPr>
              <w:t>1964.11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（七）职能部门与分支机构设置情况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1、职能部门设置情况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截至报告期末，本行内设综合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管理部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、财务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运营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部、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综合业务部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营业部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共4个主要职能部门。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 xml:space="preserve"> 2、分支机构设置情况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截至报告期末，本行只有总行营业部一个营业网点。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五、关联交易情况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报告期内，本行无关联交易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六、消费者权益保护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一是健全消保制度体系。先后制定《负面舆情处置工作办法》、《客户投诉处理考核办法》、《客户投诉责任追究办法》和《优质文明服务规范化管理办法》，使服务管理工作真正做到以客户为中心，提升投诉处理工作能力，全面提高社会的满意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二是开展金融知识普及宣传活动。开展3.15金融消费者权益知识宣传，围绕保障客户权利、强化责任意识、增强风险意识主题，发放宣传资料。电子屏滚动播出公众教育内容，组织开展全行消保知识提升培训，进一步帮助基层员工提升消保意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三是关注产品和服务售后管理。及时提供产品与服务信息，按照有关规定向金融消费者出具交易凭证、服务单据，提供金融产品销售和服务说明书、风险提示书、费用说明等相关文件，履行告知义务。上线录音录像系统，落实风险产品销售“双录”工作。妥善处理客户投诉，在营业大厅张贴客户投诉处理流程公示牌，公示投诉受理处理流程、公告多种投诉受理渠道，明确专人负责受理消费者建议及投诉，认真做好来信、来访、来电及政府网络问政调查回复工作，运用各种措施做好消费者投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、年度重大事项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关于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本行开业</w:t>
      </w:r>
      <w:r>
        <w:rPr>
          <w:rFonts w:hint="eastAsia" w:ascii="仿宋_GB2312" w:eastAsia="仿宋_GB2312"/>
          <w:b/>
          <w:sz w:val="32"/>
          <w:szCs w:val="32"/>
        </w:rPr>
        <w:t>的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事项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按照银监局《关于同意图们敦银村镇银行股份有限公司筹建的批复》（吉银监[2016]91号）同意筹建图们敦银村镇银行股份有限公司，地址为：图们市口岸大街27-1-9号。经董事会决议通过，定于2017年1月6日上午9时58分正式开业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核心业务系统上线</w:t>
      </w:r>
      <w:r>
        <w:rPr>
          <w:rFonts w:hint="eastAsia" w:ascii="仿宋_GB2312" w:eastAsia="仿宋_GB2312"/>
          <w:b/>
          <w:sz w:val="32"/>
          <w:szCs w:val="32"/>
        </w:rPr>
        <w:t>的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本行核心业务系统托管于</w:t>
      </w:r>
      <w:r>
        <w:rPr>
          <w:rFonts w:hint="eastAsia" w:ascii="仿宋" w:hAnsi="仿宋" w:eastAsia="仿宋" w:cs="仿宋"/>
          <w:sz w:val="32"/>
          <w:szCs w:val="32"/>
        </w:rPr>
        <w:t>兴业数字金融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(上海)股份有限公司，支付结算由兴业银行代理结算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数据生产中心位置：上海市浦东新区来安路500号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备份中心位置：上海市浦东新区外高桥保税区华京路6号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。本行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核心业务系统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2016年12月16日正式上线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bookmarkStart w:id="0" w:name="_GoBack"/>
      <w:bookmarkEnd w:id="0"/>
    </w:p>
    <w:p>
      <w:pPr>
        <w:ind w:firstLine="626" w:firstLineChars="195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）报告期内，无重大诉讼、仲裁事项。</w:t>
      </w:r>
    </w:p>
    <w:p>
      <w:pPr>
        <w:ind w:firstLine="626" w:firstLineChars="195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）报告期内，未发生重大案件、重大差错等情况。</w:t>
      </w:r>
    </w:p>
    <w:p>
      <w:pPr>
        <w:ind w:firstLine="626" w:firstLineChars="195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）报告期内本行各项业务合同履行情况正常，无重大合同纠纷发生。</w:t>
      </w:r>
    </w:p>
    <w:p>
      <w:pPr>
        <w:ind w:firstLine="626" w:firstLineChars="195"/>
        <w:jc w:val="both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）报告期内，本行董事、监事、高管人员未受到监管部门和司法部门处罚。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333"/>
          <w:spacing w:val="0"/>
          <w:sz w:val="32"/>
          <w:szCs w:val="32"/>
          <w:shd w:val="clear" w:fill="FFFFFF"/>
        </w:rPr>
        <w:t>审计意见：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本行聘请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highlight w:val="none"/>
          <w:shd w:val="clear" w:fill="FFFFFF"/>
          <w:lang w:eastAsia="zh-CN"/>
        </w:rPr>
        <w:t>延边诚信会计师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事务所，按照中国注册会计师审计准则的规定，对本行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2017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年度财务报告进行了审计，并出具了由中国注册会计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房永宏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、刘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波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签字的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延诚信会师审字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[2018]第49号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标准无保留意见审计报告。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图们敦银村镇银行股份有限公司审计报告（延诚信会师审字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[2018]第49号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880" w:firstLineChars="9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eastAsia="zh-CN"/>
        </w:rPr>
        <w:t>图们敦银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村镇银行股份有限公司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840" w:firstLineChars="120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aps w:val="0"/>
          <w:color w:val="34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CCDE"/>
    <w:multiLevelType w:val="singleLevel"/>
    <w:tmpl w:val="5AE2CCDE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F6BC4"/>
    <w:rsid w:val="0D0349FA"/>
    <w:rsid w:val="184918F1"/>
    <w:rsid w:val="1BBC1AED"/>
    <w:rsid w:val="1CD759AC"/>
    <w:rsid w:val="1EEA7F1E"/>
    <w:rsid w:val="22DD0A2B"/>
    <w:rsid w:val="270D5F44"/>
    <w:rsid w:val="2DAB50E2"/>
    <w:rsid w:val="2F893768"/>
    <w:rsid w:val="34973A3B"/>
    <w:rsid w:val="54393D23"/>
    <w:rsid w:val="55BF4AA6"/>
    <w:rsid w:val="59391DED"/>
    <w:rsid w:val="5E1E41D8"/>
    <w:rsid w:val="655D2B1E"/>
    <w:rsid w:val="6EDD7849"/>
    <w:rsid w:val="6F6D16B6"/>
    <w:rsid w:val="76B37696"/>
    <w:rsid w:val="7AEE1182"/>
    <w:rsid w:val="7F120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font11"/>
    <w:basedOn w:val="3"/>
    <w:qFormat/>
    <w:uiPriority w:val="0"/>
    <w:rPr>
      <w:rFonts w:hint="eastAsia" w:ascii="仿宋" w:hAnsi="仿宋" w:eastAsia="仿宋" w:cs="仿宋"/>
      <w:color w:val="34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文件 加密</dc:creator>
  <cp:lastModifiedBy>a</cp:lastModifiedBy>
  <cp:lastPrinted>2018-04-27T06:19:00Z</cp:lastPrinted>
  <dcterms:modified xsi:type="dcterms:W3CDTF">2018-04-27T09:51:17Z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